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2543"/>
        <w:gridCol w:w="1147"/>
        <w:gridCol w:w="2921"/>
      </w:tblGrid>
      <w:tr w:rsidR="00E637CD" w:rsidRPr="000E0E05" w14:paraId="0E31C2A9" w14:textId="77777777" w:rsidTr="00D076E3">
        <w:trPr>
          <w:cantSplit/>
        </w:trPr>
        <w:tc>
          <w:tcPr>
            <w:tcW w:w="2965" w:type="dxa"/>
            <w:vMerge w:val="restart"/>
            <w:tcBorders>
              <w:right w:val="single" w:sz="4" w:space="0" w:color="auto"/>
            </w:tcBorders>
          </w:tcPr>
          <w:p w14:paraId="5337B2DB" w14:textId="77777777" w:rsidR="00E637CD" w:rsidRPr="000E0E05" w:rsidRDefault="00E637CD" w:rsidP="00D076E3">
            <w:pPr>
              <w:spacing w:before="560"/>
              <w:rPr>
                <w:rFonts w:ascii="Times New Roman" w:hAnsi="Times New Roman"/>
                <w:szCs w:val="24"/>
              </w:rPr>
            </w:pPr>
            <w:r w:rsidRPr="000E0E05">
              <w:rPr>
                <w:rFonts w:ascii="Century Gothic" w:hAnsi="Century Gothic"/>
                <w:noProof/>
                <w:sz w:val="22"/>
                <w:szCs w:val="24"/>
              </w:rPr>
              <w:drawing>
                <wp:inline distT="0" distB="0" distL="0" distR="0" wp14:anchorId="2A6E5E1D" wp14:editId="671D4BB6">
                  <wp:extent cx="1733797" cy="441325"/>
                  <wp:effectExtent l="0" t="0" r="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564" cy="44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5697B" w14:textId="77777777" w:rsidR="00E637CD" w:rsidRPr="000E0E05" w:rsidRDefault="00E637CD" w:rsidP="00D076E3">
            <w:pPr>
              <w:spacing w:before="40"/>
              <w:rPr>
                <w:rFonts w:ascii="Century Gothic" w:hAnsi="Century Gothic" w:cs="Arial"/>
                <w:sz w:val="20"/>
                <w:szCs w:val="24"/>
              </w:rPr>
            </w:pPr>
            <w:r>
              <w:rPr>
                <w:rFonts w:ascii="Century Gothic" w:hAnsi="Century Gothic" w:cs="Arial"/>
                <w:sz w:val="20"/>
                <w:szCs w:val="24"/>
              </w:rPr>
              <w:t>Subject of Procedure</w:t>
            </w:r>
            <w:r w:rsidRPr="000E0E05">
              <w:rPr>
                <w:rFonts w:ascii="Century Gothic" w:hAnsi="Century Gothic" w:cs="Arial"/>
                <w:sz w:val="20"/>
                <w:szCs w:val="24"/>
              </w:rPr>
              <w:t>:</w:t>
            </w:r>
            <w:r w:rsidRPr="000E0E05">
              <w:rPr>
                <w:rFonts w:ascii="Century Gothic" w:hAnsi="Century Gothic" w:cs="Arial"/>
                <w:sz w:val="20"/>
                <w:szCs w:val="24"/>
              </w:rPr>
              <w:tab/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C5912" w14:textId="1CE155CA" w:rsidR="00E637CD" w:rsidRPr="000E0E05" w:rsidRDefault="00E637CD" w:rsidP="00D076E3">
            <w:pPr>
              <w:spacing w:before="40"/>
              <w:rPr>
                <w:rFonts w:ascii="Century Gothic" w:eastAsia="Arial" w:hAnsi="Century Gothic"/>
                <w:b/>
                <w:color w:val="050505"/>
                <w:sz w:val="20"/>
                <w:szCs w:val="24"/>
              </w:rPr>
            </w:pPr>
            <w:r>
              <w:rPr>
                <w:rFonts w:ascii="Century Gothic" w:eastAsia="Arial" w:hAnsi="Century Gothic"/>
                <w:b/>
                <w:color w:val="050505"/>
                <w:sz w:val="20"/>
                <w:szCs w:val="24"/>
              </w:rPr>
              <w:t>Job Posting</w:t>
            </w:r>
          </w:p>
        </w:tc>
      </w:tr>
      <w:tr w:rsidR="00E637CD" w:rsidRPr="000E0E05" w14:paraId="1FC2689A" w14:textId="77777777" w:rsidTr="00D076E3">
        <w:trPr>
          <w:cantSplit/>
        </w:trPr>
        <w:tc>
          <w:tcPr>
            <w:tcW w:w="2965" w:type="dxa"/>
            <w:vMerge/>
          </w:tcPr>
          <w:p w14:paraId="26058CF0" w14:textId="77777777" w:rsidR="00E637CD" w:rsidRPr="000E0E05" w:rsidRDefault="00E637CD" w:rsidP="00D076E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</w:tcPr>
          <w:p w14:paraId="3DFC87DD" w14:textId="64C9FF19" w:rsidR="00E637CD" w:rsidRPr="000E0E05" w:rsidRDefault="00E637CD" w:rsidP="00D076E3">
            <w:pPr>
              <w:spacing w:before="40"/>
              <w:rPr>
                <w:rFonts w:ascii="Century Gothic" w:hAnsi="Century Gothic" w:cs="Arial"/>
                <w:sz w:val="20"/>
                <w:szCs w:val="24"/>
              </w:rPr>
            </w:pPr>
            <w:r w:rsidRPr="000E0E05">
              <w:rPr>
                <w:rFonts w:ascii="Century Gothic" w:hAnsi="Century Gothic" w:cs="Arial"/>
                <w:sz w:val="20"/>
                <w:szCs w:val="24"/>
              </w:rPr>
              <w:t>Manual Section:  Human Resources</w:t>
            </w:r>
            <w:r w:rsidRPr="000E0E05">
              <w:rPr>
                <w:rFonts w:ascii="Century Gothic" w:hAnsi="Century Gothic" w:cs="Arial"/>
                <w:sz w:val="20"/>
                <w:szCs w:val="24"/>
              </w:rPr>
              <w:br/>
              <w:t xml:space="preserve">Number of Pages:  </w:t>
            </w:r>
            <w:r w:rsidR="006E6132">
              <w:rPr>
                <w:rFonts w:ascii="Century Gothic" w:hAnsi="Century Gothic"/>
                <w:sz w:val="20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</w:tcBorders>
          </w:tcPr>
          <w:p w14:paraId="1BF4F75D" w14:textId="40B7B7DC" w:rsidR="00E637CD" w:rsidRPr="000E0E05" w:rsidRDefault="00E637CD" w:rsidP="00D076E3">
            <w:pPr>
              <w:spacing w:before="40"/>
              <w:rPr>
                <w:rFonts w:ascii="Century Gothic" w:hAnsi="Century Gothic" w:cs="Arial"/>
                <w:sz w:val="20"/>
                <w:szCs w:val="24"/>
              </w:rPr>
            </w:pPr>
            <w:r w:rsidRPr="000E0E05">
              <w:rPr>
                <w:rFonts w:ascii="Century Gothic" w:hAnsi="Century Gothic" w:cs="Arial"/>
                <w:sz w:val="20"/>
                <w:szCs w:val="24"/>
              </w:rPr>
              <w:t>P</w:t>
            </w:r>
            <w:r>
              <w:rPr>
                <w:rFonts w:ascii="Century Gothic" w:hAnsi="Century Gothic" w:cs="Arial"/>
                <w:sz w:val="20"/>
                <w:szCs w:val="24"/>
              </w:rPr>
              <w:t>rocedure</w:t>
            </w:r>
            <w:r w:rsidRPr="000E0E05">
              <w:rPr>
                <w:rFonts w:ascii="Century Gothic" w:hAnsi="Century Gothic" w:cs="Arial"/>
                <w:sz w:val="20"/>
                <w:szCs w:val="24"/>
              </w:rPr>
              <w:t xml:space="preserve"> Number:   </w:t>
            </w:r>
            <w:r>
              <w:rPr>
                <w:rFonts w:ascii="Century Gothic" w:hAnsi="Century Gothic" w:cs="Arial"/>
                <w:b/>
                <w:sz w:val="20"/>
                <w:szCs w:val="24"/>
              </w:rPr>
              <w:t>137</w:t>
            </w:r>
          </w:p>
        </w:tc>
      </w:tr>
      <w:tr w:rsidR="00E637CD" w:rsidRPr="000E0E05" w14:paraId="1D358CFC" w14:textId="77777777" w:rsidTr="00D076E3">
        <w:trPr>
          <w:cantSplit/>
          <w:trHeight w:val="467"/>
        </w:trPr>
        <w:tc>
          <w:tcPr>
            <w:tcW w:w="2965" w:type="dxa"/>
            <w:vMerge/>
          </w:tcPr>
          <w:p w14:paraId="0033B02B" w14:textId="77777777" w:rsidR="00E637CD" w:rsidRPr="000E0E05" w:rsidRDefault="00E637CD" w:rsidP="00D076E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90" w:type="dxa"/>
            <w:gridSpan w:val="2"/>
          </w:tcPr>
          <w:p w14:paraId="59FA1B64" w14:textId="77777777" w:rsidR="00E637CD" w:rsidRPr="000E0E05" w:rsidRDefault="00E637CD" w:rsidP="00D076E3">
            <w:pPr>
              <w:spacing w:before="40"/>
              <w:rPr>
                <w:rFonts w:ascii="Century Gothic" w:hAnsi="Century Gothic" w:cs="Arial"/>
                <w:sz w:val="20"/>
                <w:szCs w:val="24"/>
              </w:rPr>
            </w:pPr>
            <w:r w:rsidRPr="000E0E05">
              <w:rPr>
                <w:rFonts w:ascii="Century Gothic" w:hAnsi="Century Gothic" w:cs="Arial"/>
                <w:sz w:val="20"/>
                <w:szCs w:val="24"/>
              </w:rPr>
              <w:t>Originating Unit:  Human Resources</w:t>
            </w:r>
          </w:p>
        </w:tc>
        <w:tc>
          <w:tcPr>
            <w:tcW w:w="2921" w:type="dxa"/>
          </w:tcPr>
          <w:p w14:paraId="6AF9A6E4" w14:textId="77777777" w:rsidR="00E637CD" w:rsidRPr="000E0E05" w:rsidRDefault="00E637CD" w:rsidP="00D076E3">
            <w:pPr>
              <w:spacing w:before="40"/>
              <w:rPr>
                <w:rFonts w:ascii="Century Gothic" w:hAnsi="Century Gothic" w:cs="Arial"/>
                <w:sz w:val="20"/>
                <w:szCs w:val="24"/>
              </w:rPr>
            </w:pPr>
            <w:r w:rsidRPr="000E0E05">
              <w:rPr>
                <w:rFonts w:ascii="Century Gothic" w:hAnsi="Century Gothic" w:cs="Arial"/>
                <w:sz w:val="20"/>
                <w:szCs w:val="24"/>
              </w:rPr>
              <w:t>Effective Date:</w:t>
            </w:r>
          </w:p>
          <w:p w14:paraId="06845FB5" w14:textId="4CC24D0F" w:rsidR="00E637CD" w:rsidRPr="000E0E05" w:rsidRDefault="00E637CD" w:rsidP="00D076E3">
            <w:pPr>
              <w:spacing w:before="40"/>
              <w:rPr>
                <w:rFonts w:ascii="Century Gothic" w:hAnsi="Century Gothic" w:cs="Arial"/>
                <w:sz w:val="20"/>
                <w:szCs w:val="24"/>
              </w:rPr>
            </w:pPr>
            <w:r w:rsidRPr="000E0E05">
              <w:rPr>
                <w:rFonts w:ascii="Century Gothic" w:hAnsi="Century Gothic" w:cs="Arial"/>
                <w:sz w:val="20"/>
                <w:szCs w:val="24"/>
              </w:rPr>
              <w:t>J</w:t>
            </w:r>
            <w:r>
              <w:rPr>
                <w:rFonts w:ascii="Century Gothic" w:hAnsi="Century Gothic" w:cs="Arial"/>
                <w:sz w:val="20"/>
                <w:szCs w:val="24"/>
              </w:rPr>
              <w:t>uly 1, 1998</w:t>
            </w:r>
          </w:p>
          <w:p w14:paraId="1F58655E" w14:textId="3A5ED930" w:rsidR="00E637CD" w:rsidRPr="000E0E05" w:rsidRDefault="00E637CD" w:rsidP="00D076E3">
            <w:pPr>
              <w:spacing w:before="40"/>
              <w:rPr>
                <w:rFonts w:ascii="Century Gothic" w:hAnsi="Century Gothic" w:cs="Arial"/>
                <w:sz w:val="20"/>
                <w:szCs w:val="24"/>
              </w:rPr>
            </w:pPr>
            <w:r w:rsidRPr="000E0E05">
              <w:rPr>
                <w:rFonts w:ascii="Century Gothic" w:hAnsi="Century Gothic" w:cs="Arial"/>
                <w:sz w:val="20"/>
                <w:szCs w:val="24"/>
              </w:rPr>
              <w:t xml:space="preserve">Rev. Date: </w:t>
            </w:r>
            <w:r w:rsidR="00D21CE5">
              <w:rPr>
                <w:rFonts w:ascii="Century Gothic" w:hAnsi="Century Gothic" w:cs="Arial"/>
                <w:sz w:val="20"/>
                <w:szCs w:val="24"/>
              </w:rPr>
              <w:t>Nov 1</w:t>
            </w:r>
            <w:r w:rsidR="009F232D">
              <w:rPr>
                <w:rFonts w:ascii="Century Gothic" w:hAnsi="Century Gothic" w:cs="Arial"/>
                <w:sz w:val="20"/>
                <w:szCs w:val="24"/>
              </w:rPr>
              <w:t>8</w:t>
            </w:r>
            <w:r>
              <w:rPr>
                <w:rFonts w:ascii="Century Gothic" w:hAnsi="Century Gothic" w:cs="Arial"/>
                <w:sz w:val="20"/>
                <w:szCs w:val="24"/>
              </w:rPr>
              <w:t>, 2022</w:t>
            </w:r>
          </w:p>
        </w:tc>
      </w:tr>
    </w:tbl>
    <w:p w14:paraId="2D245150" w14:textId="77777777" w:rsidR="00081D94" w:rsidRDefault="00081D94" w:rsidP="00081D94">
      <w:pPr>
        <w:tabs>
          <w:tab w:val="left" w:pos="-720"/>
        </w:tabs>
        <w:suppressAutoHyphens/>
        <w:rPr>
          <w:sz w:val="22"/>
        </w:rPr>
      </w:pPr>
    </w:p>
    <w:p w14:paraId="06BCC438" w14:textId="77777777" w:rsidR="00081D94" w:rsidRDefault="00081D94" w:rsidP="00081D94">
      <w:pPr>
        <w:tabs>
          <w:tab w:val="left" w:pos="0"/>
        </w:tabs>
        <w:rPr>
          <w:sz w:val="22"/>
        </w:rPr>
      </w:pPr>
    </w:p>
    <w:p w14:paraId="12C0556A" w14:textId="77777777" w:rsidR="00081D94" w:rsidRDefault="00081D94" w:rsidP="00081D94">
      <w:pPr>
        <w:rPr>
          <w:b/>
          <w:sz w:val="22"/>
        </w:rPr>
      </w:pPr>
      <w:r>
        <w:rPr>
          <w:b/>
          <w:sz w:val="22"/>
        </w:rPr>
        <w:t>Scope:</w:t>
      </w:r>
      <w:r>
        <w:rPr>
          <w:b/>
          <w:sz w:val="22"/>
        </w:rPr>
        <w:tab/>
      </w:r>
    </w:p>
    <w:p w14:paraId="77997867" w14:textId="77777777" w:rsidR="00081D94" w:rsidRDefault="00081D94" w:rsidP="00081D94">
      <w:pPr>
        <w:rPr>
          <w:sz w:val="22"/>
        </w:rPr>
      </w:pPr>
      <w:r>
        <w:rPr>
          <w:sz w:val="22"/>
        </w:rPr>
        <w:t>Applies to all supervisors</w:t>
      </w:r>
    </w:p>
    <w:p w14:paraId="55AD10C3" w14:textId="77777777" w:rsidR="00081D94" w:rsidRPr="00EF4C80" w:rsidRDefault="00081D94" w:rsidP="00081D94">
      <w:pPr>
        <w:rPr>
          <w:b/>
          <w:sz w:val="22"/>
        </w:rPr>
      </w:pPr>
    </w:p>
    <w:p w14:paraId="6B68E0BA" w14:textId="77777777" w:rsidR="00081D94" w:rsidRPr="00EF4C80" w:rsidRDefault="00081D94" w:rsidP="00081D94">
      <w:pPr>
        <w:ind w:left="2160" w:hanging="2160"/>
        <w:rPr>
          <w:b/>
          <w:sz w:val="22"/>
        </w:rPr>
      </w:pPr>
      <w:r w:rsidRPr="00EF4C80">
        <w:rPr>
          <w:b/>
          <w:sz w:val="22"/>
        </w:rPr>
        <w:t>Definitions:</w:t>
      </w:r>
    </w:p>
    <w:p w14:paraId="3182423F" w14:textId="0D1D8F30" w:rsidR="00081D94" w:rsidRPr="00EF4C80" w:rsidRDefault="00081D94" w:rsidP="00081D94">
      <w:pPr>
        <w:ind w:left="2160" w:hanging="2160"/>
        <w:rPr>
          <w:sz w:val="22"/>
        </w:rPr>
      </w:pPr>
      <w:r w:rsidRPr="00EF4C80">
        <w:rPr>
          <w:b/>
          <w:sz w:val="22"/>
        </w:rPr>
        <w:t xml:space="preserve">Open position – </w:t>
      </w:r>
      <w:r w:rsidRPr="00EF4C80">
        <w:rPr>
          <w:sz w:val="22"/>
        </w:rPr>
        <w:t xml:space="preserve">any position created by </w:t>
      </w:r>
      <w:r w:rsidR="00E637CD" w:rsidRPr="00EF4C80">
        <w:rPr>
          <w:sz w:val="22"/>
        </w:rPr>
        <w:t xml:space="preserve">separation </w:t>
      </w:r>
      <w:r w:rsidRPr="00EF4C80">
        <w:rPr>
          <w:sz w:val="22"/>
        </w:rPr>
        <w:t>or by creating a new position</w:t>
      </w:r>
    </w:p>
    <w:p w14:paraId="6D343C55" w14:textId="77777777" w:rsidR="00081D94" w:rsidRPr="00EF4C80" w:rsidRDefault="00081D94" w:rsidP="00081D94">
      <w:pPr>
        <w:rPr>
          <w:b/>
          <w:sz w:val="22"/>
        </w:rPr>
      </w:pPr>
    </w:p>
    <w:p w14:paraId="07FB73BB" w14:textId="77777777" w:rsidR="00081D94" w:rsidRPr="00EF4C80" w:rsidRDefault="00081D94" w:rsidP="00081D94">
      <w:pPr>
        <w:rPr>
          <w:b/>
          <w:sz w:val="22"/>
        </w:rPr>
      </w:pPr>
      <w:r w:rsidRPr="00EF4C80">
        <w:rPr>
          <w:b/>
          <w:sz w:val="22"/>
        </w:rPr>
        <w:t>Procedural Requirements:</w:t>
      </w:r>
    </w:p>
    <w:p w14:paraId="39D48C44" w14:textId="716D6737" w:rsidR="00081D94" w:rsidRPr="00EF4C80" w:rsidRDefault="00EF4C80" w:rsidP="00081D94">
      <w:pPr>
        <w:numPr>
          <w:ilvl w:val="0"/>
          <w:numId w:val="1"/>
        </w:numPr>
        <w:rPr>
          <w:sz w:val="22"/>
        </w:rPr>
      </w:pPr>
      <w:r w:rsidRPr="00EF4C80">
        <w:rPr>
          <w:sz w:val="22"/>
        </w:rPr>
        <w:t>J</w:t>
      </w:r>
      <w:r w:rsidR="00081D94" w:rsidRPr="00EF4C80">
        <w:rPr>
          <w:sz w:val="22"/>
        </w:rPr>
        <w:t>ob openings are posted internally</w:t>
      </w:r>
      <w:r w:rsidR="00E637CD" w:rsidRPr="00EF4C80">
        <w:rPr>
          <w:sz w:val="22"/>
        </w:rPr>
        <w:t xml:space="preserve"> for a</w:t>
      </w:r>
      <w:r w:rsidR="00081D94" w:rsidRPr="00EF4C80">
        <w:rPr>
          <w:sz w:val="22"/>
        </w:rPr>
        <w:t xml:space="preserve"> </w:t>
      </w:r>
      <w:r w:rsidR="00E637CD" w:rsidRPr="00EF4C80">
        <w:rPr>
          <w:sz w:val="22"/>
        </w:rPr>
        <w:t>minimum of 7 days</w:t>
      </w:r>
      <w:r w:rsidR="000D69E6" w:rsidRPr="00EF4C80">
        <w:rPr>
          <w:sz w:val="22"/>
        </w:rPr>
        <w:t xml:space="preserve"> before a position is filled</w:t>
      </w:r>
      <w:r w:rsidR="00893DDA" w:rsidRPr="00EF4C80">
        <w:rPr>
          <w:sz w:val="22"/>
        </w:rPr>
        <w:t xml:space="preserve">. Vacancies may also be posted </w:t>
      </w:r>
      <w:r w:rsidR="00081D94" w:rsidRPr="00EF4C80">
        <w:rPr>
          <w:sz w:val="22"/>
        </w:rPr>
        <w:t>externally</w:t>
      </w:r>
      <w:r w:rsidR="00893DDA" w:rsidRPr="00EF4C80">
        <w:rPr>
          <w:sz w:val="22"/>
        </w:rPr>
        <w:t xml:space="preserve"> </w:t>
      </w:r>
      <w:r w:rsidR="00081D94" w:rsidRPr="00EF4C80">
        <w:rPr>
          <w:sz w:val="22"/>
        </w:rPr>
        <w:t xml:space="preserve">for a minimum of </w:t>
      </w:r>
      <w:r w:rsidR="00E637CD" w:rsidRPr="00EF4C80">
        <w:rPr>
          <w:sz w:val="22"/>
        </w:rPr>
        <w:t>14</w:t>
      </w:r>
      <w:r w:rsidR="00081D94" w:rsidRPr="00EF4C80">
        <w:rPr>
          <w:sz w:val="22"/>
        </w:rPr>
        <w:t xml:space="preserve"> days</w:t>
      </w:r>
      <w:r w:rsidR="000D69E6" w:rsidRPr="00EF4C80">
        <w:rPr>
          <w:sz w:val="22"/>
        </w:rPr>
        <w:t>.</w:t>
      </w:r>
    </w:p>
    <w:p w14:paraId="4999F1E5" w14:textId="77777777" w:rsidR="000D69E6" w:rsidRPr="00EF4C80" w:rsidRDefault="000D69E6" w:rsidP="000D69E6">
      <w:pPr>
        <w:ind w:left="720"/>
        <w:rPr>
          <w:sz w:val="22"/>
        </w:rPr>
      </w:pPr>
    </w:p>
    <w:p w14:paraId="237F8816" w14:textId="70C687D9" w:rsidR="00081D94" w:rsidRPr="00EF4C80" w:rsidRDefault="00081D94" w:rsidP="00081D94">
      <w:pPr>
        <w:numPr>
          <w:ilvl w:val="0"/>
          <w:numId w:val="2"/>
        </w:numPr>
        <w:rPr>
          <w:sz w:val="22"/>
        </w:rPr>
      </w:pPr>
      <w:r w:rsidRPr="00EF4C80">
        <w:rPr>
          <w:sz w:val="22"/>
        </w:rPr>
        <w:t>Supervisors should</w:t>
      </w:r>
      <w:r w:rsidR="00E637CD" w:rsidRPr="00EF4C80">
        <w:rPr>
          <w:sz w:val="22"/>
        </w:rPr>
        <w:t xml:space="preserve"> email </w:t>
      </w:r>
      <w:r w:rsidRPr="00EF4C80">
        <w:rPr>
          <w:sz w:val="22"/>
        </w:rPr>
        <w:t>Human Resources</w:t>
      </w:r>
      <w:r w:rsidR="00E637CD" w:rsidRPr="00EF4C80">
        <w:rPr>
          <w:sz w:val="22"/>
        </w:rPr>
        <w:t xml:space="preserve"> at human_resources@carelink.org</w:t>
      </w:r>
      <w:r w:rsidRPr="00EF4C80">
        <w:rPr>
          <w:sz w:val="22"/>
        </w:rPr>
        <w:t xml:space="preserve"> to provide notice of an open position</w:t>
      </w:r>
      <w:r w:rsidR="00E637CD" w:rsidRPr="00EF4C80">
        <w:rPr>
          <w:sz w:val="22"/>
        </w:rPr>
        <w:t>.</w:t>
      </w:r>
      <w:r w:rsidRPr="00EF4C80">
        <w:rPr>
          <w:sz w:val="22"/>
        </w:rPr>
        <w:t xml:space="preserve"> </w:t>
      </w:r>
    </w:p>
    <w:p w14:paraId="0B567331" w14:textId="77777777" w:rsidR="00EF4C80" w:rsidRPr="00EF4C80" w:rsidRDefault="00EF4C80" w:rsidP="00EF4C80">
      <w:pPr>
        <w:ind w:left="1350"/>
        <w:rPr>
          <w:sz w:val="22"/>
        </w:rPr>
      </w:pPr>
    </w:p>
    <w:p w14:paraId="51601517" w14:textId="74DC0038" w:rsidR="00081D94" w:rsidRPr="00EF4C80" w:rsidRDefault="00081D94" w:rsidP="00081D94">
      <w:pPr>
        <w:numPr>
          <w:ilvl w:val="0"/>
          <w:numId w:val="2"/>
        </w:numPr>
        <w:rPr>
          <w:sz w:val="22"/>
        </w:rPr>
      </w:pPr>
      <w:r w:rsidRPr="00EF4C80">
        <w:rPr>
          <w:sz w:val="22"/>
        </w:rPr>
        <w:t>Human Resources will</w:t>
      </w:r>
      <w:r w:rsidR="00E637CD" w:rsidRPr="00EF4C80">
        <w:rPr>
          <w:sz w:val="22"/>
        </w:rPr>
        <w:t xml:space="preserve"> post on external job sites</w:t>
      </w:r>
      <w:r w:rsidRPr="00EF4C80">
        <w:rPr>
          <w:sz w:val="22"/>
        </w:rPr>
        <w:t xml:space="preserve"> and update the internal job posting</w:t>
      </w:r>
      <w:r w:rsidR="00EF4C80" w:rsidRPr="00EF4C80">
        <w:rPr>
          <w:sz w:val="22"/>
        </w:rPr>
        <w:t xml:space="preserve"> site</w:t>
      </w:r>
      <w:r w:rsidRPr="00EF4C80">
        <w:rPr>
          <w:sz w:val="22"/>
        </w:rPr>
        <w:t xml:space="preserve"> each week.</w:t>
      </w:r>
      <w:r w:rsidR="00EF4C80" w:rsidRPr="00EF4C80">
        <w:rPr>
          <w:sz w:val="22"/>
        </w:rPr>
        <w:t xml:space="preserve"> </w:t>
      </w:r>
      <w:r w:rsidRPr="00EF4C80">
        <w:rPr>
          <w:sz w:val="22"/>
        </w:rPr>
        <w:t>Internal job postings are sent to</w:t>
      </w:r>
      <w:r w:rsidR="00E637CD" w:rsidRPr="00EF4C80">
        <w:rPr>
          <w:sz w:val="22"/>
        </w:rPr>
        <w:t xml:space="preserve"> all </w:t>
      </w:r>
      <w:proofErr w:type="spellStart"/>
      <w:r w:rsidR="00E637CD" w:rsidRPr="00EF4C80">
        <w:rPr>
          <w:sz w:val="22"/>
        </w:rPr>
        <w:t>CareLink</w:t>
      </w:r>
      <w:proofErr w:type="spellEnd"/>
      <w:r w:rsidR="00E637CD" w:rsidRPr="00EF4C80">
        <w:rPr>
          <w:sz w:val="22"/>
        </w:rPr>
        <w:t xml:space="preserve"> staff.</w:t>
      </w:r>
      <w:r w:rsidRPr="00EF4C80">
        <w:rPr>
          <w:sz w:val="22"/>
        </w:rPr>
        <w:t xml:space="preserve"> </w:t>
      </w:r>
    </w:p>
    <w:p w14:paraId="37014FDE" w14:textId="77777777" w:rsidR="00EF4C80" w:rsidRPr="00EF4C80" w:rsidRDefault="00EF4C80" w:rsidP="00EF4C80">
      <w:pPr>
        <w:rPr>
          <w:sz w:val="22"/>
        </w:rPr>
      </w:pPr>
    </w:p>
    <w:p w14:paraId="6E15E480" w14:textId="2B058FCF" w:rsidR="00081D94" w:rsidRPr="00EF4C80" w:rsidRDefault="00081D94" w:rsidP="00081D94">
      <w:pPr>
        <w:numPr>
          <w:ilvl w:val="0"/>
          <w:numId w:val="2"/>
        </w:numPr>
        <w:rPr>
          <w:sz w:val="22"/>
        </w:rPr>
      </w:pPr>
      <w:r w:rsidRPr="00EF4C80">
        <w:rPr>
          <w:sz w:val="22"/>
        </w:rPr>
        <w:t xml:space="preserve">All </w:t>
      </w:r>
      <w:r w:rsidR="00E637CD" w:rsidRPr="00EF4C80">
        <w:rPr>
          <w:sz w:val="22"/>
        </w:rPr>
        <w:t xml:space="preserve">job postings </w:t>
      </w:r>
      <w:r w:rsidRPr="00EF4C80">
        <w:rPr>
          <w:sz w:val="22"/>
        </w:rPr>
        <w:t xml:space="preserve">will be based on the minimum qualifications of the job description and will contain a statement that </w:t>
      </w:r>
      <w:proofErr w:type="spellStart"/>
      <w:r w:rsidRPr="00EF4C80">
        <w:rPr>
          <w:sz w:val="22"/>
        </w:rPr>
        <w:t>CareLink</w:t>
      </w:r>
      <w:proofErr w:type="spellEnd"/>
      <w:r w:rsidRPr="00EF4C80">
        <w:rPr>
          <w:sz w:val="22"/>
        </w:rPr>
        <w:t xml:space="preserve"> is an Affirmative Action/Equal Opportunity Employer (AA/EOE).</w:t>
      </w:r>
    </w:p>
    <w:p w14:paraId="6E4489FA" w14:textId="77777777" w:rsidR="00BC7C32" w:rsidRPr="00EF4C80" w:rsidRDefault="00BC7C32" w:rsidP="00BC7C32">
      <w:pPr>
        <w:pStyle w:val="ListParagraph"/>
        <w:rPr>
          <w:sz w:val="22"/>
        </w:rPr>
      </w:pPr>
    </w:p>
    <w:p w14:paraId="23722D67" w14:textId="04F35585" w:rsidR="00BC7C32" w:rsidRPr="00EF4C80" w:rsidRDefault="00BC7C32" w:rsidP="00BC7C32">
      <w:pPr>
        <w:pStyle w:val="ListParagraph"/>
        <w:numPr>
          <w:ilvl w:val="0"/>
          <w:numId w:val="1"/>
        </w:numPr>
        <w:rPr>
          <w:sz w:val="22"/>
        </w:rPr>
      </w:pPr>
      <w:r w:rsidRPr="00EF4C80">
        <w:rPr>
          <w:sz w:val="22"/>
        </w:rPr>
        <w:t>Jobs may not be posted for organizational restructure</w:t>
      </w:r>
      <w:r w:rsidR="004B3AE7" w:rsidRPr="00EF4C80">
        <w:rPr>
          <w:sz w:val="22"/>
        </w:rPr>
        <w:t>s</w:t>
      </w:r>
      <w:r w:rsidRPr="00EF4C80">
        <w:rPr>
          <w:sz w:val="22"/>
        </w:rPr>
        <w:t xml:space="preserve"> or if a position is eliminated. </w:t>
      </w:r>
    </w:p>
    <w:p w14:paraId="2134C0A4" w14:textId="1B63F77D" w:rsidR="00BC7C32" w:rsidRPr="00EF4C80" w:rsidRDefault="00BC7C32" w:rsidP="00BC7C32">
      <w:pPr>
        <w:pStyle w:val="ListParagraph"/>
        <w:rPr>
          <w:sz w:val="22"/>
        </w:rPr>
      </w:pPr>
    </w:p>
    <w:p w14:paraId="651A4741" w14:textId="43BA327D" w:rsidR="00BC7C32" w:rsidRPr="00EF4C80" w:rsidRDefault="00BC7C32" w:rsidP="00BC7C32">
      <w:pPr>
        <w:pStyle w:val="ListParagraph"/>
        <w:numPr>
          <w:ilvl w:val="0"/>
          <w:numId w:val="3"/>
        </w:numPr>
        <w:rPr>
          <w:sz w:val="22"/>
        </w:rPr>
      </w:pPr>
      <w:r w:rsidRPr="00EF4C80">
        <w:rPr>
          <w:sz w:val="22"/>
        </w:rPr>
        <w:t>At the discretion of the CEO</w:t>
      </w:r>
      <w:r w:rsidR="004B3AE7" w:rsidRPr="00EF4C80">
        <w:rPr>
          <w:sz w:val="22"/>
        </w:rPr>
        <w:t>,</w:t>
      </w:r>
      <w:r w:rsidRPr="00EF4C80">
        <w:rPr>
          <w:sz w:val="22"/>
        </w:rPr>
        <w:t xml:space="preserve"> employees in a restructured or eliminated position may be transferred to another available or created position for which they are qualified</w:t>
      </w:r>
      <w:r w:rsidR="004B3AE7" w:rsidRPr="00EF4C80">
        <w:rPr>
          <w:sz w:val="22"/>
        </w:rPr>
        <w:t xml:space="preserve"> </w:t>
      </w:r>
      <w:r w:rsidRPr="00EF4C80">
        <w:rPr>
          <w:sz w:val="22"/>
        </w:rPr>
        <w:t xml:space="preserve">without posting the </w:t>
      </w:r>
      <w:r w:rsidR="004B3AE7" w:rsidRPr="00EF4C80">
        <w:rPr>
          <w:sz w:val="22"/>
        </w:rPr>
        <w:t xml:space="preserve">job </w:t>
      </w:r>
      <w:r w:rsidRPr="00EF4C80">
        <w:rPr>
          <w:sz w:val="22"/>
        </w:rPr>
        <w:t xml:space="preserve">opening </w:t>
      </w:r>
      <w:r w:rsidR="004B3AE7" w:rsidRPr="00EF4C80">
        <w:rPr>
          <w:sz w:val="22"/>
        </w:rPr>
        <w:t xml:space="preserve">or considering other applicants. </w:t>
      </w:r>
      <w:r w:rsidRPr="00EF4C80">
        <w:rPr>
          <w:sz w:val="22"/>
        </w:rPr>
        <w:t xml:space="preserve">  </w:t>
      </w:r>
    </w:p>
    <w:p w14:paraId="58EBF7D6" w14:textId="77777777" w:rsidR="00081D94" w:rsidRPr="004B3AE7" w:rsidRDefault="00081D94" w:rsidP="00081D94">
      <w:pPr>
        <w:rPr>
          <w:color w:val="FF0000"/>
          <w:sz w:val="22"/>
        </w:rPr>
      </w:pPr>
    </w:p>
    <w:p w14:paraId="6A7F4C41" w14:textId="0DF1C00E" w:rsidR="00754CE3" w:rsidRPr="004B3AE7" w:rsidRDefault="00EF4C80" w:rsidP="00081D94">
      <w:pPr>
        <w:rPr>
          <w:color w:val="FF0000"/>
        </w:rPr>
      </w:pPr>
    </w:p>
    <w:sectPr w:rsidR="00754CE3" w:rsidRPr="004B3AE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6A0F" w14:textId="77777777" w:rsidR="00081D94" w:rsidRDefault="00081D94" w:rsidP="00081D94">
      <w:r>
        <w:separator/>
      </w:r>
    </w:p>
  </w:endnote>
  <w:endnote w:type="continuationSeparator" w:id="0">
    <w:p w14:paraId="5EB20711" w14:textId="77777777" w:rsidR="00081D94" w:rsidRDefault="00081D94" w:rsidP="0008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29EC" w14:textId="77777777" w:rsidR="00081D94" w:rsidRDefault="00081D9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Page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PAGE 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NUMPAGES  \* Arabic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</w:p>
  <w:p w14:paraId="7845548D" w14:textId="77777777" w:rsidR="00081D94" w:rsidRDefault="00081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4493" w14:textId="77777777" w:rsidR="00081D94" w:rsidRDefault="00081D94" w:rsidP="00081D94">
      <w:r>
        <w:separator/>
      </w:r>
    </w:p>
  </w:footnote>
  <w:footnote w:type="continuationSeparator" w:id="0">
    <w:p w14:paraId="75EC423E" w14:textId="77777777" w:rsidR="00081D94" w:rsidRDefault="00081D94" w:rsidP="00081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80B35"/>
    <w:multiLevelType w:val="hybridMultilevel"/>
    <w:tmpl w:val="EA6836AC"/>
    <w:lvl w:ilvl="0" w:tplc="45C88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2E040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A060C8F"/>
    <w:multiLevelType w:val="singleLevel"/>
    <w:tmpl w:val="58A29542"/>
    <w:lvl w:ilvl="0">
      <w:start w:val="1"/>
      <w:numFmt w:val="upperLetter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strike w:val="0"/>
      </w:rPr>
    </w:lvl>
  </w:abstractNum>
  <w:num w:numId="1" w16cid:durableId="224265792">
    <w:abstractNumId w:val="1"/>
  </w:num>
  <w:num w:numId="2" w16cid:durableId="385566299">
    <w:abstractNumId w:val="2"/>
  </w:num>
  <w:num w:numId="3" w16cid:durableId="207173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94"/>
    <w:rsid w:val="00081D94"/>
    <w:rsid w:val="000D69E6"/>
    <w:rsid w:val="002B7D88"/>
    <w:rsid w:val="004B3AE7"/>
    <w:rsid w:val="006E6132"/>
    <w:rsid w:val="007C609B"/>
    <w:rsid w:val="00893DDA"/>
    <w:rsid w:val="008E75AC"/>
    <w:rsid w:val="009F232D"/>
    <w:rsid w:val="00BC7C32"/>
    <w:rsid w:val="00C56EAA"/>
    <w:rsid w:val="00D21CE5"/>
    <w:rsid w:val="00E637CD"/>
    <w:rsid w:val="00E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4090"/>
  <w15:chartTrackingRefBased/>
  <w15:docId w15:val="{D9F6F2CC-0FC1-4A23-9125-C1681748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D94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D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D94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81D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D9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BC7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Mattingly</dc:creator>
  <cp:keywords/>
  <dc:description/>
  <cp:lastModifiedBy>Natasha Kendrick</cp:lastModifiedBy>
  <cp:revision>10</cp:revision>
  <dcterms:created xsi:type="dcterms:W3CDTF">2022-10-25T13:07:00Z</dcterms:created>
  <dcterms:modified xsi:type="dcterms:W3CDTF">2022-11-18T14:42:00Z</dcterms:modified>
</cp:coreProperties>
</file>